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74108">
      <w:pPr>
        <w:overflowPunct w:val="0"/>
        <w:spacing w:line="560" w:lineRule="exact"/>
        <w:ind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rPr>
        <w:t>附件</w:t>
      </w:r>
      <w:r>
        <w:rPr>
          <w:rFonts w:hint="eastAsia" w:ascii="黑体" w:hAnsi="黑体" w:eastAsia="黑体" w:cs="黑体"/>
          <w:sz w:val="32"/>
          <w:szCs w:val="32"/>
          <w:lang w:val="en-US" w:eastAsia="zh-CN"/>
        </w:rPr>
        <w:t>1</w:t>
      </w:r>
    </w:p>
    <w:p w14:paraId="7AA98D7B">
      <w:pPr>
        <w:pStyle w:val="4"/>
        <w:overflowPunct w:val="0"/>
        <w:spacing w:after="0" w:line="560" w:lineRule="exact"/>
        <w:ind w:left="0" w:leftChars="0" w:firstLine="640"/>
        <w:jc w:val="center"/>
        <w:rPr>
          <w:rFonts w:hint="eastAsia" w:ascii="方正小标宋简体" w:hAnsi="方正小标宋简体" w:eastAsia="方正小标宋简体" w:cs="方正小标宋简体"/>
          <w:sz w:val="21"/>
          <w:szCs w:val="24"/>
          <w:lang w:val="en-US"/>
        </w:rPr>
      </w:pPr>
    </w:p>
    <w:p w14:paraId="49AF20A2">
      <w:pPr>
        <w:suppressAutoHyphens/>
        <w:overflowPunct w:val="0"/>
        <w:spacing w:line="560" w:lineRule="exact"/>
        <w:ind w:firstLine="0" w:firstLineChars="0"/>
        <w:contextualSpacing/>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关于进一步优化化学药品创新药工艺验证</w:t>
      </w:r>
    </w:p>
    <w:p w14:paraId="194FDC06">
      <w:pPr>
        <w:suppressAutoHyphens/>
        <w:overflowPunct w:val="0"/>
        <w:spacing w:line="560" w:lineRule="exact"/>
        <w:ind w:firstLine="0" w:firstLineChars="0"/>
        <w:contextualSpacing/>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w:t>
      </w:r>
      <w:r>
        <w:rPr>
          <w:rFonts w:hint="eastAsia" w:ascii="方正小标宋简体" w:hAnsi="方正小标宋简体" w:eastAsia="方正小标宋简体" w:cs="方正小标宋简体"/>
          <w:sz w:val="44"/>
          <w:szCs w:val="44"/>
          <w:lang w:eastAsia="zh-CN"/>
        </w:rPr>
        <w:t>资料</w:t>
      </w:r>
      <w:r>
        <w:rPr>
          <w:rFonts w:hint="eastAsia" w:ascii="方正小标宋简体" w:hAnsi="方正小标宋简体" w:eastAsia="方正小标宋简体" w:cs="方正小标宋简体"/>
          <w:sz w:val="44"/>
          <w:szCs w:val="44"/>
        </w:rPr>
        <w:t>要求有关事项的公告</w:t>
      </w:r>
    </w:p>
    <w:p w14:paraId="026113AA">
      <w:pPr>
        <w:keepNext w:val="0"/>
        <w:keepLines w:val="0"/>
        <w:pageBreakBefore w:val="0"/>
        <w:widowControl w:val="0"/>
        <w:numPr>
          <w:ilvl w:val="0"/>
          <w:numId w:val="0"/>
        </w:numPr>
        <w:kinsoku/>
        <w:wordWrap/>
        <w:overflowPunct w:val="0"/>
        <w:topLinePunct w:val="0"/>
        <w:autoSpaceDE/>
        <w:autoSpaceDN/>
        <w:bidi w:val="0"/>
        <w:adjustRightInd w:val="0"/>
        <w:snapToGrid/>
        <w:spacing w:line="560" w:lineRule="exact"/>
        <w:ind w:firstLine="0" w:firstLineChars="0"/>
        <w:jc w:val="center"/>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（征求意见</w:t>
      </w:r>
      <w:r>
        <w:rPr>
          <w:rFonts w:hint="eastAsia" w:ascii="楷体_GB2312" w:hAnsi="楷体_GB2312" w:eastAsia="楷体_GB2312" w:cs="楷体_GB2312"/>
          <w:sz w:val="32"/>
          <w:szCs w:val="32"/>
        </w:rPr>
        <w:t>稿</w:t>
      </w:r>
      <w:r>
        <w:rPr>
          <w:rFonts w:hint="eastAsia" w:ascii="楷体_GB2312" w:hAnsi="楷体_GB2312" w:eastAsia="楷体_GB2312" w:cs="楷体_GB2312"/>
          <w:sz w:val="32"/>
          <w:szCs w:val="32"/>
          <w:lang w:val="en-US" w:eastAsia="zh-CN"/>
        </w:rPr>
        <w:t>）</w:t>
      </w:r>
    </w:p>
    <w:p w14:paraId="4BFE734E">
      <w:pPr>
        <w:pStyle w:val="4"/>
        <w:overflowPunct w:val="0"/>
        <w:spacing w:after="0" w:line="560" w:lineRule="exact"/>
        <w:ind w:left="0" w:leftChars="0" w:firstLine="420" w:firstLineChars="200"/>
        <w:jc w:val="center"/>
      </w:pPr>
    </w:p>
    <w:p w14:paraId="110BC1F2">
      <w:pPr>
        <w:widowControl w:val="0"/>
        <w:overflowPunct w:val="0"/>
        <w:adjustRightInd w:val="0"/>
        <w:snapToGrid w:val="0"/>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为深入落实《国务院办公厅关于全面深化药品医疗器械监管改革促进医药产业高质量发展的意见》（国</w:t>
      </w:r>
      <w:r>
        <w:rPr>
          <w:rFonts w:hint="default" w:ascii="Times New Roman" w:hAnsi="Times New Roman" w:eastAsia="仿宋_GB2312" w:cs="Times New Roman"/>
          <w:sz w:val="32"/>
          <w:szCs w:val="32"/>
        </w:rPr>
        <w:t>办</w:t>
      </w:r>
      <w:r>
        <w:rPr>
          <w:rFonts w:hint="default" w:ascii="Times New Roman" w:hAnsi="Times New Roman" w:eastAsia="仿宋_GB2312" w:cs="Times New Roman"/>
          <w:color w:val="000000"/>
          <w:sz w:val="32"/>
          <w:szCs w:val="32"/>
        </w:rPr>
        <w:t>发〔2024〕53号）</w:t>
      </w:r>
      <w:r>
        <w:rPr>
          <w:rFonts w:hint="eastAsia" w:ascii="仿宋_GB2312" w:hAnsi="仿宋_GB2312" w:eastAsia="仿宋_GB2312" w:cs="仿宋_GB2312"/>
          <w:sz w:val="32"/>
          <w:szCs w:val="32"/>
        </w:rPr>
        <w:t>精神，进一步推动药品注册技术标准与国际接轨，支持创新药研发申报，国家药监局充分借鉴国际监管经验，进一步优化化学药品创新药工艺验证申报</w:t>
      </w:r>
      <w:r>
        <w:rPr>
          <w:rFonts w:hint="eastAsia" w:ascii="仿宋_GB2312" w:hAnsi="仿宋_GB2312" w:eastAsia="仿宋_GB2312" w:cs="仿宋_GB2312"/>
          <w:sz w:val="32"/>
          <w:szCs w:val="32"/>
          <w:lang w:eastAsia="zh-CN"/>
        </w:rPr>
        <w:t>资料</w:t>
      </w:r>
      <w:r>
        <w:rPr>
          <w:rFonts w:hint="eastAsia" w:ascii="仿宋_GB2312" w:hAnsi="仿宋_GB2312" w:eastAsia="仿宋_GB2312" w:cs="仿宋_GB2312"/>
          <w:sz w:val="32"/>
          <w:szCs w:val="32"/>
        </w:rPr>
        <w:t>要求。现将有关事项</w:t>
      </w:r>
      <w:r>
        <w:rPr>
          <w:rFonts w:ascii="仿宋_GB2312" w:hAnsi="仿宋_GB2312" w:eastAsia="仿宋_GB2312" w:cs="仿宋_GB2312"/>
          <w:sz w:val="32"/>
          <w:szCs w:val="32"/>
        </w:rPr>
        <w:t>公告如下</w:t>
      </w:r>
      <w:r>
        <w:rPr>
          <w:rFonts w:hint="eastAsia" w:ascii="仿宋_GB2312" w:hAnsi="仿宋_GB2312" w:eastAsia="仿宋_GB2312" w:cs="仿宋_GB2312"/>
          <w:sz w:val="32"/>
          <w:szCs w:val="32"/>
        </w:rPr>
        <w:t>：</w:t>
      </w:r>
    </w:p>
    <w:p w14:paraId="56E4F78E">
      <w:pPr>
        <w:pStyle w:val="4"/>
        <w:overflowPunct w:val="0"/>
        <w:adjustRightInd w:val="0"/>
        <w:snapToGrid w:val="0"/>
        <w:spacing w:after="0" w:line="560" w:lineRule="exact"/>
        <w:ind w:left="0" w:leftChars="0" w:firstLine="640"/>
      </w:pPr>
      <w:r>
        <w:rPr>
          <w:rFonts w:hint="eastAsia" w:ascii="仿宋_GB2312" w:hAnsi="仿宋_GB2312" w:eastAsia="仿宋_GB2312" w:cs="仿宋_GB2312"/>
          <w:sz w:val="32"/>
          <w:szCs w:val="32"/>
        </w:rPr>
        <w:t>一、【鼓励方向】鼓励境内生产的创新药品开展国际多中心临床试验，在国内首报的同时向境外提出申报；鼓励境外生产的药品将我国纳入早期全球同步研发，在我国实现同步申报、同步审评、同步上市。</w:t>
      </w:r>
    </w:p>
    <w:p w14:paraId="01F74F25">
      <w:pPr>
        <w:overflowPunct w:val="0"/>
        <w:adjustRightInd w:val="0"/>
        <w:snapToGrid w:val="0"/>
        <w:spacing w:after="0" w:line="560"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二、【优化举措】对于全球同步申报的化学药品创新药，符合条件的，优化工艺验证申报要求，申请人可在提交药品上市申请时提交工艺验证方案及</w:t>
      </w:r>
      <w:r>
        <w:rPr>
          <w:rFonts w:hint="eastAsia" w:ascii="仿宋_GB2312" w:hAnsi="仿宋_GB2312" w:eastAsia="仿宋_GB2312" w:cs="仿宋_GB2312"/>
          <w:position w:val="-1"/>
          <w:sz w:val="32"/>
          <w:szCs w:val="32"/>
        </w:rPr>
        <w:t>已完成的相关工艺研究情况，</w:t>
      </w:r>
      <w:r>
        <w:rPr>
          <w:rFonts w:hint="eastAsia" w:ascii="仿宋_GB2312" w:hAnsi="仿宋_GB2312" w:eastAsia="仿宋_GB2312" w:cs="仿宋_GB2312"/>
          <w:sz w:val="32"/>
          <w:szCs w:val="32"/>
        </w:rPr>
        <w:t>并承诺在药品上市申请审评期间滚动提交完整的工艺验证报告。</w:t>
      </w:r>
    </w:p>
    <w:p w14:paraId="437D8829">
      <w:pPr>
        <w:overflowPunct w:val="0"/>
        <w:adjustRightInd w:val="0"/>
        <w:snapToGrid w:val="0"/>
        <w:spacing w:after="0" w:line="560"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三、【品种条件】允许滚动提交工艺验证报告的创新药应同时符合以下条件：</w:t>
      </w:r>
    </w:p>
    <w:p w14:paraId="79D90509">
      <w:pPr>
        <w:overflowPunct w:val="0"/>
        <w:adjustRightInd w:val="0"/>
        <w:snapToGrid w:val="0"/>
        <w:spacing w:after="0" w:line="560" w:lineRule="exact"/>
        <w:ind w:firstLine="640" w:firstLineChars="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w:t>
      </w:r>
      <w:r>
        <w:rPr>
          <w:rFonts w:hint="default" w:ascii="Times New Roman" w:hAnsi="Times New Roman" w:eastAsia="仿宋_GB2312" w:cs="Times New Roman"/>
          <w:color w:val="000000"/>
          <w:sz w:val="32"/>
          <w:szCs w:val="32"/>
        </w:rPr>
        <w:t>为1类</w:t>
      </w:r>
      <w:r>
        <w:rPr>
          <w:rFonts w:hint="eastAsia" w:ascii="仿宋_GB2312" w:hAnsi="仿宋_GB2312" w:eastAsia="仿宋_GB2312" w:cs="仿宋_GB2312"/>
          <w:sz w:val="32"/>
          <w:szCs w:val="32"/>
        </w:rPr>
        <w:t>化学药品创新药普通口服固体制剂，不含采用肠溶、缓释、控释、迟释等特殊工艺生产的药品</w:t>
      </w:r>
      <w:r>
        <w:rPr>
          <w:rFonts w:hint="eastAsia" w:ascii="仿宋_GB2312" w:hAnsi="仿宋_GB2312" w:eastAsia="仿宋_GB2312" w:cs="仿宋_GB2312"/>
          <w:sz w:val="32"/>
          <w:szCs w:val="32"/>
          <w:lang w:eastAsia="zh-CN"/>
        </w:rPr>
        <w:t>；</w:t>
      </w:r>
    </w:p>
    <w:p w14:paraId="35A7D6B4">
      <w:pPr>
        <w:overflowPunct w:val="0"/>
        <w:adjustRightInd w:val="0"/>
        <w:snapToGrid w:val="0"/>
        <w:spacing w:after="0" w:line="560" w:lineRule="exact"/>
        <w:ind w:firstLine="640" w:firstLineChars="200"/>
        <w:contextualSpacing/>
        <w:rPr>
          <w:rFonts w:ascii="Times New Roman" w:hAnsi="Times New Roman" w:eastAsia="仿宋_GB2312" w:cs="Times New Roman"/>
          <w:color w:val="000000"/>
          <w:sz w:val="32"/>
          <w:szCs w:val="32"/>
        </w:rPr>
      </w:pPr>
      <w:r>
        <w:rPr>
          <w:rFonts w:hint="eastAsia" w:ascii="仿宋_GB2312" w:hAnsi="仿宋_GB2312" w:eastAsia="仿宋_GB2312" w:cs="仿宋_GB2312"/>
          <w:sz w:val="32"/>
          <w:szCs w:val="32"/>
        </w:rPr>
        <w:t>（二）进行全球同步申报。全球同步申报是指开展全球多中心临床试验的产品，除中国外，还在其他境外主要药品监管机构（</w:t>
      </w:r>
      <w:r>
        <w:rPr>
          <w:rFonts w:hint="default" w:ascii="Times New Roman" w:hAnsi="Times New Roman" w:eastAsia="仿宋_GB2312" w:cs="Times New Roman"/>
          <w:color w:val="000000"/>
          <w:sz w:val="32"/>
          <w:szCs w:val="32"/>
        </w:rPr>
        <w:t>如ICH</w:t>
      </w:r>
      <w:r>
        <w:rPr>
          <w:rFonts w:hint="eastAsia" w:ascii="仿宋_GB2312" w:hAnsi="仿宋_GB2312" w:eastAsia="仿宋_GB2312" w:cs="仿宋_GB2312"/>
          <w:color w:val="000000"/>
          <w:sz w:val="32"/>
          <w:szCs w:val="32"/>
        </w:rPr>
        <w:t>成员国）同步申报，在中国进行该产品全球首次上市申报或在中国递</w:t>
      </w:r>
      <w:r>
        <w:rPr>
          <w:rFonts w:hint="default" w:ascii="Times New Roman" w:hAnsi="Times New Roman" w:eastAsia="仿宋_GB2312" w:cs="Times New Roman"/>
          <w:color w:val="000000"/>
          <w:sz w:val="32"/>
          <w:szCs w:val="32"/>
        </w:rPr>
        <w:t>交时间不晚于全球首次申报的3个月内。</w:t>
      </w:r>
    </w:p>
    <w:p w14:paraId="3CA1D9C9">
      <w:pPr>
        <w:overflowPunct w:val="0"/>
        <w:adjustRightInd w:val="0"/>
        <w:snapToGrid w:val="0"/>
        <w:spacing w:after="0" w:line="560" w:lineRule="exact"/>
        <w:ind w:firstLine="640" w:firstLineChars="200"/>
        <w:contextualSpacing/>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四、【申请人条件】允许提交工艺验证报告的创新药申请人应</w:t>
      </w:r>
      <w:r>
        <w:rPr>
          <w:rFonts w:hint="default" w:ascii="Times New Roman" w:hAnsi="Times New Roman" w:eastAsia="仿宋_GB2312" w:cs="Times New Roman"/>
          <w:color w:val="000000"/>
          <w:sz w:val="32"/>
          <w:szCs w:val="32"/>
          <w:lang w:eastAsia="zh-CN"/>
        </w:rPr>
        <w:t>同时</w:t>
      </w:r>
      <w:r>
        <w:rPr>
          <w:rFonts w:hint="default" w:ascii="Times New Roman" w:hAnsi="Times New Roman" w:eastAsia="仿宋_GB2312" w:cs="Times New Roman"/>
          <w:color w:val="000000"/>
          <w:sz w:val="32"/>
          <w:szCs w:val="32"/>
        </w:rPr>
        <w:t>符合以下要求：</w:t>
      </w:r>
    </w:p>
    <w:p w14:paraId="41655356">
      <w:pPr>
        <w:numPr>
          <w:ilvl w:val="0"/>
          <w:numId w:val="1"/>
        </w:numPr>
        <w:overflowPunct w:val="0"/>
        <w:adjustRightInd w:val="0"/>
        <w:snapToGrid w:val="0"/>
        <w:spacing w:after="0" w:line="560" w:lineRule="exact"/>
        <w:ind w:firstLine="640" w:firstLineChars="200"/>
        <w:contextualSpacing/>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具备丰富的自主研发及上市申报经验，成功提交过1类创新药品或5.1类原研药品的上市申请（按正式受理计）；</w:t>
      </w:r>
    </w:p>
    <w:p w14:paraId="2984418E">
      <w:pPr>
        <w:overflowPunct w:val="0"/>
        <w:adjustRightInd w:val="0"/>
        <w:snapToGrid w:val="0"/>
        <w:spacing w:after="0" w:line="560" w:lineRule="exact"/>
        <w:ind w:firstLine="640" w:firstLineChars="200"/>
        <w:contextualSpacing/>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（二）</w:t>
      </w:r>
      <w:r>
        <w:rPr>
          <w:rFonts w:hint="default" w:ascii="Times New Roman" w:hAnsi="Times New Roman" w:eastAsia="仿宋_GB2312" w:cs="Times New Roman"/>
          <w:color w:val="000000"/>
          <w:sz w:val="32"/>
          <w:szCs w:val="32"/>
        </w:rPr>
        <w:t>具备较强的质量管理和风险防控能力，具有</w:t>
      </w:r>
      <w:r>
        <w:rPr>
          <w:rFonts w:hint="default" w:ascii="Times New Roman" w:hAnsi="Times New Roman" w:eastAsia="仿宋_GB2312" w:cs="Times New Roman"/>
          <w:color w:val="000000"/>
          <w:sz w:val="32"/>
          <w:szCs w:val="32"/>
          <w:lang w:val="en-US"/>
        </w:rPr>
        <w:t>3</w:t>
      </w:r>
      <w:r>
        <w:rPr>
          <w:rFonts w:hint="default" w:ascii="Times New Roman" w:hAnsi="Times New Roman" w:eastAsia="仿宋_GB2312" w:cs="Times New Roman"/>
          <w:color w:val="000000"/>
          <w:sz w:val="32"/>
          <w:szCs w:val="32"/>
        </w:rPr>
        <w:t>年以上普通口服固体制剂商业化生产经验；</w:t>
      </w:r>
    </w:p>
    <w:p w14:paraId="6F798F13">
      <w:pPr>
        <w:overflowPunct w:val="0"/>
        <w:adjustRightInd w:val="0"/>
        <w:snapToGrid w:val="0"/>
        <w:spacing w:after="0" w:line="560" w:lineRule="exact"/>
        <w:ind w:firstLine="640" w:firstLineChars="200"/>
        <w:contextualSpacing/>
        <w:rPr>
          <w:rFonts w:ascii="仿宋_GB2312" w:hAnsi="仿宋_GB2312" w:eastAsia="仿宋_GB2312" w:cs="仿宋_GB2312"/>
          <w:sz w:val="32"/>
          <w:szCs w:val="32"/>
        </w:rPr>
      </w:pPr>
      <w:r>
        <w:rPr>
          <w:rFonts w:hint="default" w:ascii="Times New Roman" w:hAnsi="Times New Roman" w:eastAsia="仿宋_GB2312" w:cs="Times New Roman"/>
          <w:color w:val="000000"/>
          <w:sz w:val="32"/>
          <w:szCs w:val="32"/>
          <w:lang w:eastAsia="zh-CN"/>
        </w:rPr>
        <w:t>（三）</w:t>
      </w:r>
      <w:r>
        <w:rPr>
          <w:rFonts w:hint="default" w:ascii="Times New Roman" w:hAnsi="Times New Roman" w:eastAsia="仿宋_GB2312" w:cs="Times New Roman"/>
          <w:color w:val="000000"/>
          <w:sz w:val="32"/>
          <w:szCs w:val="32"/>
        </w:rPr>
        <w:t>具备</w:t>
      </w:r>
      <w:r>
        <w:rPr>
          <w:rFonts w:hint="default" w:ascii="Times New Roman" w:hAnsi="Times New Roman" w:eastAsia="仿宋_GB2312" w:cs="Times New Roman"/>
          <w:sz w:val="32"/>
          <w:szCs w:val="32"/>
        </w:rPr>
        <w:t>与申报品种风险</w:t>
      </w:r>
      <w:r>
        <w:rPr>
          <w:rFonts w:hint="eastAsia" w:ascii="仿宋_GB2312" w:hAnsi="仿宋_GB2312" w:eastAsia="仿宋_GB2312" w:cs="仿宋_GB2312"/>
          <w:sz w:val="32"/>
          <w:szCs w:val="32"/>
        </w:rPr>
        <w:t>程度、市场规模和人身损害赔偿标准等相匹配的责任赔偿能力。</w:t>
      </w:r>
    </w:p>
    <w:p w14:paraId="3E3AD529">
      <w:pPr>
        <w:overflowPunct w:val="0"/>
        <w:adjustRightInd w:val="0"/>
        <w:snapToGrid w:val="0"/>
        <w:spacing w:after="0" w:line="560" w:lineRule="exact"/>
        <w:ind w:firstLine="640" w:firstLineChars="200"/>
        <w:contextualSpacing/>
        <w:rPr>
          <w:rFonts w:hint="eastAsia" w:ascii="仿宋_GB2312" w:hAnsi="仿宋_GB2312" w:eastAsia="仿宋_GB2312" w:cs="仿宋_GB2312"/>
          <w:position w:val="-1"/>
          <w:sz w:val="32"/>
          <w:szCs w:val="32"/>
        </w:rPr>
      </w:pPr>
      <w:r>
        <w:rPr>
          <w:rFonts w:hint="eastAsia" w:ascii="仿宋_GB2312" w:hAnsi="仿宋_GB2312" w:eastAsia="仿宋_GB2312" w:cs="仿宋_GB2312"/>
          <w:sz w:val="32"/>
          <w:szCs w:val="32"/>
        </w:rPr>
        <w:t>五、【申报受理】自评估符合上述要求的创新药申请人，应在药品上市申请前的沟通交流中提出滚动提交工艺验证报告的计划，与</w:t>
      </w:r>
      <w:r>
        <w:rPr>
          <w:rFonts w:hint="eastAsia" w:ascii="仿宋_GB2312" w:hAnsi="仿宋_GB2312" w:eastAsia="仿宋_GB2312" w:cs="仿宋_GB2312"/>
          <w:sz w:val="32"/>
          <w:szCs w:val="32"/>
          <w:lang w:eastAsia="zh-CN"/>
        </w:rPr>
        <w:t>国家药品监督管理局药品审评中心（以下简称</w:t>
      </w:r>
      <w:r>
        <w:rPr>
          <w:rFonts w:hint="eastAsia" w:ascii="仿宋_GB2312" w:hAnsi="仿宋_GB2312" w:eastAsia="仿宋_GB2312" w:cs="仿宋_GB2312"/>
          <w:sz w:val="32"/>
          <w:szCs w:val="32"/>
        </w:rPr>
        <w:t>药审中心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达成一致意见后再正式提出药品上</w:t>
      </w:r>
      <w:r>
        <w:rPr>
          <w:rFonts w:hint="default" w:ascii="Times New Roman" w:hAnsi="Times New Roman" w:eastAsia="仿宋_GB2312" w:cs="Times New Roman"/>
          <w:sz w:val="32"/>
          <w:szCs w:val="32"/>
        </w:rPr>
        <w:t>市申请。在上市申请申报资料中，除工艺验证方案及</w:t>
      </w:r>
      <w:r>
        <w:rPr>
          <w:rFonts w:hint="default" w:ascii="Times New Roman" w:hAnsi="Times New Roman" w:eastAsia="仿宋_GB2312" w:cs="Times New Roman"/>
          <w:position w:val="-1"/>
          <w:sz w:val="32"/>
          <w:szCs w:val="32"/>
        </w:rPr>
        <w:t>已完成的相</w:t>
      </w:r>
      <w:r>
        <w:rPr>
          <w:rFonts w:hint="default" w:ascii="Times New Roman" w:hAnsi="Times New Roman" w:eastAsia="仿宋_GB2312" w:cs="Times New Roman"/>
          <w:color w:val="000000"/>
          <w:position w:val="-1"/>
          <w:sz w:val="32"/>
          <w:szCs w:val="32"/>
        </w:rPr>
        <w:t>关工艺研究情况外，还应提交《承诺书》</w:t>
      </w:r>
      <w:r>
        <w:rPr>
          <w:rFonts w:hint="default" w:ascii="Times New Roman" w:hAnsi="Times New Roman" w:eastAsia="仿宋_GB2312" w:cs="Times New Roman"/>
          <w:color w:val="000000"/>
          <w:position w:val="-1"/>
          <w:sz w:val="32"/>
          <w:szCs w:val="32"/>
          <w:lang w:eastAsia="zh-CN"/>
        </w:rPr>
        <w:t>（见附）</w:t>
      </w:r>
      <w:r>
        <w:rPr>
          <w:rFonts w:hint="default" w:ascii="Times New Roman" w:hAnsi="Times New Roman" w:eastAsia="仿宋_GB2312" w:cs="Times New Roman"/>
          <w:color w:val="000000"/>
          <w:position w:val="-1"/>
          <w:sz w:val="32"/>
          <w:szCs w:val="32"/>
        </w:rPr>
        <w:t>，承诺在受理后</w:t>
      </w:r>
      <w:r>
        <w:rPr>
          <w:rFonts w:hint="default" w:ascii="Times New Roman" w:hAnsi="Times New Roman" w:eastAsia="仿宋_GB2312" w:cs="Times New Roman"/>
          <w:b w:val="0"/>
          <w:bCs w:val="0"/>
          <w:color w:val="000000"/>
          <w:position w:val="-1"/>
          <w:sz w:val="32"/>
          <w:szCs w:val="32"/>
        </w:rPr>
        <w:t>6个月内</w:t>
      </w:r>
      <w:r>
        <w:rPr>
          <w:rFonts w:hint="default" w:ascii="Times New Roman" w:hAnsi="Times New Roman" w:eastAsia="仿宋_GB2312" w:cs="Times New Roman"/>
          <w:color w:val="000000"/>
          <w:position w:val="-1"/>
          <w:sz w:val="32"/>
          <w:szCs w:val="32"/>
        </w:rPr>
        <w:t>（纳入优先审评审批程序的应在受理后</w:t>
      </w:r>
      <w:r>
        <w:rPr>
          <w:rFonts w:hint="default" w:ascii="Times New Roman" w:hAnsi="Times New Roman" w:eastAsia="仿宋_GB2312" w:cs="Times New Roman"/>
          <w:b w:val="0"/>
          <w:bCs w:val="0"/>
          <w:color w:val="000000"/>
          <w:position w:val="-1"/>
          <w:sz w:val="32"/>
          <w:szCs w:val="32"/>
        </w:rPr>
        <w:t>3个月内</w:t>
      </w:r>
      <w:r>
        <w:rPr>
          <w:rFonts w:hint="default" w:ascii="Times New Roman" w:hAnsi="Times New Roman" w:eastAsia="仿宋_GB2312" w:cs="Times New Roman"/>
          <w:color w:val="000000"/>
          <w:position w:val="-1"/>
          <w:sz w:val="32"/>
          <w:szCs w:val="32"/>
        </w:rPr>
        <w:t>）滚动提交工艺验证报告。其他资料与现行化学药品注册受理审查资料</w:t>
      </w:r>
      <w:r>
        <w:rPr>
          <w:rFonts w:hint="eastAsia" w:ascii="仿宋_GB2312" w:hAnsi="仿宋_GB2312" w:eastAsia="仿宋_GB2312" w:cs="仿宋_GB2312"/>
          <w:position w:val="-1"/>
          <w:sz w:val="32"/>
          <w:szCs w:val="32"/>
        </w:rPr>
        <w:t>要求相同。</w:t>
      </w:r>
    </w:p>
    <w:p w14:paraId="10A82625">
      <w:pPr>
        <w:numPr>
          <w:ilvl w:val="0"/>
          <w:numId w:val="0"/>
        </w:numPr>
        <w:overflowPunct w:val="0"/>
        <w:adjustRightInd w:val="0"/>
        <w:snapToGrid w:val="0"/>
        <w:spacing w:after="0" w:line="560" w:lineRule="exact"/>
        <w:ind w:firstLine="640" w:firstLineChars="200"/>
        <w:contextualSpacing/>
        <w:rPr>
          <w:rFonts w:hint="eastAsia" w:ascii="仿宋_GB2312" w:hAnsi="仿宋_GB2312" w:eastAsia="仿宋_GB2312" w:cs="仿宋_GB2312"/>
          <w:color w:val="000000"/>
          <w:sz w:val="32"/>
          <w:szCs w:val="32"/>
        </w:rPr>
      </w:pPr>
      <w:r>
        <w:rPr>
          <w:rFonts w:hint="default" w:ascii="仿宋_GB2312" w:hAnsi="仿宋_GB2312" w:eastAsia="仿宋_GB2312" w:cs="仿宋_GB2312"/>
          <w:sz w:val="32"/>
          <w:szCs w:val="32"/>
          <w:lang w:val="en-US"/>
        </w:rPr>
        <w:t>六、</w:t>
      </w:r>
      <w:r>
        <w:rPr>
          <w:rFonts w:hint="eastAsia" w:ascii="仿宋_GB2312" w:hAnsi="仿宋_GB2312" w:eastAsia="仿宋_GB2312" w:cs="仿宋_GB2312"/>
          <w:position w:val="-1"/>
          <w:sz w:val="32"/>
          <w:szCs w:val="32"/>
        </w:rPr>
        <w:t>【</w:t>
      </w:r>
      <w:r>
        <w:rPr>
          <w:rFonts w:hint="default" w:ascii="仿宋_GB2312" w:hAnsi="仿宋_GB2312" w:eastAsia="仿宋_GB2312" w:cs="仿宋_GB2312"/>
          <w:position w:val="-1"/>
          <w:sz w:val="32"/>
          <w:szCs w:val="32"/>
          <w:lang w:val="en-US"/>
        </w:rPr>
        <w:t>注册检验</w:t>
      </w:r>
      <w:r>
        <w:rPr>
          <w:rFonts w:hint="eastAsia" w:ascii="仿宋_GB2312" w:hAnsi="仿宋_GB2312" w:eastAsia="仿宋_GB2312" w:cs="仿宋_GB2312"/>
          <w:position w:val="-1"/>
          <w:sz w:val="32"/>
          <w:szCs w:val="32"/>
        </w:rPr>
        <w:t>】</w:t>
      </w:r>
      <w:r>
        <w:rPr>
          <w:rFonts w:hint="eastAsia" w:ascii="仿宋_GB2312" w:hAnsi="仿宋_GB2312" w:eastAsia="仿宋_GB2312" w:cs="仿宋_GB2312"/>
          <w:sz w:val="32"/>
          <w:szCs w:val="32"/>
        </w:rPr>
        <w:t>注册检验前，申请人应当开展充分的方法学研究，形成较为成熟的注册标准。对于符合条件的全球同步申报的化学药品创新药，接受采用商业化工艺和商业化生产线生产的、具有商业化规模代表性的样品，作为申请注册检验用样品。申请人可在注册申请受理</w:t>
      </w:r>
      <w:r>
        <w:rPr>
          <w:rFonts w:hint="eastAsia" w:ascii="仿宋_GB2312" w:hAnsi="仿宋_GB2312" w:eastAsia="仿宋_GB2312" w:cs="仿宋_GB2312"/>
          <w:color w:val="000000"/>
          <w:sz w:val="32"/>
          <w:szCs w:val="32"/>
        </w:rPr>
        <w:t>前向中国药品检定研究院提出一次前置检验申请，申请后不得主动撤回，</w:t>
      </w:r>
      <w:r>
        <w:rPr>
          <w:rFonts w:hint="eastAsia" w:ascii="仿宋_GB2312" w:hAnsi="仿宋_GB2312" w:eastAsia="仿宋_GB2312" w:cs="仿宋_GB2312"/>
          <w:color w:val="000000"/>
          <w:sz w:val="32"/>
          <w:szCs w:val="32"/>
          <w:lang w:eastAsia="zh-CN"/>
        </w:rPr>
        <w:t>药审中心</w:t>
      </w:r>
      <w:r>
        <w:rPr>
          <w:rFonts w:hint="eastAsia" w:ascii="仿宋_GB2312" w:hAnsi="仿宋_GB2312" w:eastAsia="仿宋_GB2312" w:cs="仿宋_GB2312"/>
          <w:color w:val="000000"/>
          <w:sz w:val="32"/>
          <w:szCs w:val="32"/>
        </w:rPr>
        <w:t>受理注册申请时不再发起检验。</w:t>
      </w:r>
    </w:p>
    <w:p w14:paraId="42E3387B">
      <w:pPr>
        <w:numPr>
          <w:ilvl w:val="0"/>
          <w:numId w:val="0"/>
        </w:numPr>
        <w:overflowPunct w:val="0"/>
        <w:adjustRightInd w:val="0"/>
        <w:snapToGrid w:val="0"/>
        <w:spacing w:after="0" w:line="560" w:lineRule="exact"/>
        <w:ind w:firstLine="640" w:firstLineChars="200"/>
        <w:contextualSpacing/>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position w:val="-1"/>
          <w:sz w:val="32"/>
          <w:szCs w:val="32"/>
          <w:lang w:val="en-US"/>
        </w:rPr>
        <w:t>七、</w:t>
      </w:r>
      <w:r>
        <w:rPr>
          <w:rFonts w:hint="eastAsia" w:ascii="仿宋_GB2312" w:hAnsi="仿宋_GB2312" w:eastAsia="仿宋_GB2312" w:cs="仿宋_GB2312"/>
          <w:position w:val="-1"/>
          <w:sz w:val="32"/>
          <w:szCs w:val="32"/>
        </w:rPr>
        <w:t>【审评审批】</w:t>
      </w:r>
      <w:r>
        <w:rPr>
          <w:rFonts w:hint="eastAsia" w:ascii="仿宋_GB2312" w:hAnsi="仿宋_GB2312" w:eastAsia="仿宋_GB2312" w:cs="仿宋_GB2312"/>
          <w:sz w:val="32"/>
          <w:szCs w:val="32"/>
        </w:rPr>
        <w:t>国家药监局技术部门按程序开展注册检验、注册核查、技术审评。</w:t>
      </w:r>
      <w:r>
        <w:rPr>
          <w:rFonts w:hint="default" w:ascii="仿宋_GB2312" w:hAnsi="仿宋_GB2312" w:eastAsia="仿宋_GB2312" w:cs="仿宋_GB2312"/>
          <w:sz w:val="32"/>
          <w:szCs w:val="32"/>
          <w:lang w:val="en-US"/>
        </w:rPr>
        <w:t>药品</w:t>
      </w:r>
      <w:r>
        <w:rPr>
          <w:rFonts w:hint="eastAsia" w:ascii="仿宋_GB2312" w:hAnsi="仿宋_GB2312" w:eastAsia="仿宋_GB2312" w:cs="仿宋_GB2312"/>
          <w:sz w:val="32"/>
          <w:szCs w:val="32"/>
        </w:rPr>
        <w:t>审评期间，药品注册申请人应按承诺时限滚动提交完整的工艺验证报告，</w:t>
      </w:r>
      <w:r>
        <w:rPr>
          <w:rFonts w:hint="eastAsia" w:ascii="仿宋_GB2312" w:hAnsi="仿宋_GB2312" w:eastAsia="仿宋_GB2312" w:cs="仿宋_GB2312"/>
          <w:color w:val="000000"/>
          <w:sz w:val="32"/>
          <w:szCs w:val="32"/>
        </w:rPr>
        <w:t>逾期未提交的，审评</w:t>
      </w:r>
      <w:r>
        <w:rPr>
          <w:rFonts w:hint="eastAsia" w:ascii="仿宋_GB2312" w:hAnsi="仿宋_GB2312" w:eastAsia="仿宋_GB2312" w:cs="仿宋_GB2312"/>
          <w:b w:val="0"/>
          <w:bCs w:val="0"/>
          <w:color w:val="000000"/>
          <w:sz w:val="32"/>
          <w:szCs w:val="32"/>
        </w:rPr>
        <w:t>暂停计时</w:t>
      </w:r>
      <w:r>
        <w:rPr>
          <w:rFonts w:hint="eastAsia" w:ascii="仿宋_GB2312" w:hAnsi="仿宋_GB2312" w:eastAsia="仿宋_GB2312" w:cs="仿宋_GB2312"/>
          <w:color w:val="000000"/>
          <w:sz w:val="32"/>
          <w:szCs w:val="32"/>
          <w:u w:val="none"/>
        </w:rPr>
        <w:t>。</w:t>
      </w:r>
      <w:r>
        <w:rPr>
          <w:rFonts w:hint="eastAsia" w:ascii="仿宋_GB2312" w:hAnsi="仿宋_GB2312" w:eastAsia="仿宋_GB2312" w:cs="仿宋_GB2312"/>
          <w:color w:val="000000"/>
          <w:sz w:val="32"/>
          <w:szCs w:val="32"/>
        </w:rPr>
        <w:t>申请人提交工艺验证报告、具备核查条件后，药审中心</w:t>
      </w:r>
      <w:r>
        <w:rPr>
          <w:rFonts w:hint="default" w:ascii="Times New Roman" w:hAnsi="Times New Roman" w:eastAsia="仿宋_GB2312" w:cs="Times New Roman"/>
          <w:color w:val="000000"/>
          <w:sz w:val="32"/>
          <w:szCs w:val="32"/>
          <w:lang w:eastAsia="zh-CN"/>
        </w:rPr>
        <w:t>在</w:t>
      </w:r>
      <w:r>
        <w:rPr>
          <w:rFonts w:hint="default" w:ascii="Times New Roman" w:hAnsi="Times New Roman" w:eastAsia="仿宋_GB2312" w:cs="Times New Roman"/>
          <w:color w:val="000000"/>
          <w:sz w:val="32"/>
          <w:szCs w:val="32"/>
          <w:lang w:val="en-US" w:eastAsia="zh-CN"/>
        </w:rPr>
        <w:t>5日内通知</w:t>
      </w:r>
      <w:r>
        <w:rPr>
          <w:rFonts w:hint="default" w:ascii="Times New Roman" w:hAnsi="Times New Roman" w:eastAsia="仿宋_GB2312" w:cs="Times New Roman"/>
          <w:color w:val="000000"/>
          <w:sz w:val="32"/>
          <w:szCs w:val="32"/>
        </w:rPr>
        <w:t>国家药</w:t>
      </w:r>
      <w:r>
        <w:rPr>
          <w:rFonts w:hint="default" w:ascii="Times New Roman" w:hAnsi="Times New Roman" w:eastAsia="仿宋_GB2312" w:cs="Times New Roman"/>
          <w:color w:val="000000"/>
          <w:sz w:val="32"/>
          <w:szCs w:val="32"/>
          <w:lang w:eastAsia="zh-CN"/>
        </w:rPr>
        <w:t>品</w:t>
      </w:r>
      <w:r>
        <w:rPr>
          <w:rFonts w:hint="default" w:ascii="Times New Roman" w:hAnsi="Times New Roman" w:eastAsia="仿宋_GB2312" w:cs="Times New Roman"/>
          <w:color w:val="000000"/>
          <w:sz w:val="32"/>
          <w:szCs w:val="32"/>
        </w:rPr>
        <w:t>监</w:t>
      </w:r>
      <w:r>
        <w:rPr>
          <w:rFonts w:hint="default" w:ascii="Times New Roman" w:hAnsi="Times New Roman" w:eastAsia="仿宋_GB2312" w:cs="Times New Roman"/>
          <w:color w:val="000000"/>
          <w:sz w:val="32"/>
          <w:szCs w:val="32"/>
          <w:lang w:eastAsia="zh-CN"/>
        </w:rPr>
        <w:t>督管理</w:t>
      </w:r>
      <w:r>
        <w:rPr>
          <w:rFonts w:hint="default" w:ascii="Times New Roman" w:hAnsi="Times New Roman" w:eastAsia="仿宋_GB2312" w:cs="Times New Roman"/>
          <w:color w:val="000000"/>
          <w:sz w:val="32"/>
          <w:szCs w:val="32"/>
        </w:rPr>
        <w:t>局</w:t>
      </w:r>
      <w:r>
        <w:rPr>
          <w:rFonts w:hint="default" w:ascii="Times New Roman" w:hAnsi="Times New Roman" w:eastAsia="仿宋_GB2312" w:cs="Times New Roman"/>
          <w:color w:val="000000"/>
          <w:sz w:val="32"/>
          <w:szCs w:val="32"/>
          <w:lang w:val="en-US" w:eastAsia="zh-CN"/>
        </w:rPr>
        <w:t>药品审核查验中心</w:t>
      </w:r>
      <w:r>
        <w:rPr>
          <w:rFonts w:hint="eastAsia" w:ascii="Times New Roman" w:hAnsi="Times New Roman" w:eastAsia="仿宋_GB2312" w:cs="Times New Roman"/>
          <w:color w:val="000000"/>
          <w:sz w:val="32"/>
          <w:szCs w:val="32"/>
          <w:lang w:val="en-US" w:eastAsia="zh-CN"/>
        </w:rPr>
        <w:t>（以下简称药品审核查验中心）</w:t>
      </w:r>
      <w:r>
        <w:rPr>
          <w:rFonts w:hint="default" w:ascii="Times New Roman" w:hAnsi="Times New Roman" w:eastAsia="仿宋_GB2312" w:cs="Times New Roman"/>
          <w:color w:val="000000"/>
          <w:sz w:val="32"/>
          <w:szCs w:val="32"/>
          <w:lang w:val="en-US" w:eastAsia="zh-CN"/>
        </w:rPr>
        <w:t>启动核查，并同时通知申请人；药品审核查验中心</w:t>
      </w:r>
      <w:r>
        <w:rPr>
          <w:rFonts w:hint="default" w:ascii="Times New Roman" w:hAnsi="Times New Roman" w:eastAsia="仿宋_GB2312" w:cs="Times New Roman"/>
          <w:color w:val="000000"/>
          <w:sz w:val="32"/>
          <w:szCs w:val="32"/>
        </w:rPr>
        <w:t>按程序开展药学注册核查</w:t>
      </w:r>
      <w:r>
        <w:rPr>
          <w:rFonts w:hint="default" w:ascii="Times New Roman" w:hAnsi="Times New Roman" w:eastAsia="仿宋_GB2312" w:cs="Times New Roman"/>
          <w:color w:val="000000"/>
          <w:sz w:val="32"/>
          <w:szCs w:val="32"/>
          <w:lang w:eastAsia="zh-CN"/>
        </w:rPr>
        <w:t>，原则上在审评时限届满</w:t>
      </w:r>
      <w:r>
        <w:rPr>
          <w:rFonts w:hint="default"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lang w:eastAsia="zh-CN"/>
        </w:rPr>
        <w:t>日前完成</w:t>
      </w:r>
      <w:r>
        <w:rPr>
          <w:rFonts w:hint="eastAsia" w:ascii="仿宋_GB2312" w:hAnsi="仿宋_GB2312" w:eastAsia="仿宋_GB2312" w:cs="仿宋_GB2312"/>
          <w:color w:val="000000"/>
          <w:sz w:val="32"/>
          <w:szCs w:val="32"/>
          <w:lang w:eastAsia="zh-CN"/>
        </w:rPr>
        <w:t>生产现场核查，并将核查情况、核查结果等材料反馈至药审中心。</w:t>
      </w:r>
    </w:p>
    <w:p w14:paraId="438B9CBE">
      <w:pPr>
        <w:numPr>
          <w:ilvl w:val="0"/>
          <w:numId w:val="0"/>
        </w:numPr>
        <w:overflowPunct w:val="0"/>
        <w:adjustRightInd w:val="0"/>
        <w:snapToGrid w:val="0"/>
        <w:spacing w:line="56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本公告自发布之日起实施。</w:t>
      </w:r>
    </w:p>
    <w:p w14:paraId="59AB2629">
      <w:pPr>
        <w:numPr>
          <w:ilvl w:val="0"/>
          <w:numId w:val="0"/>
        </w:numPr>
        <w:overflowPunct w:val="0"/>
        <w:adjustRightInd w:val="0"/>
        <w:snapToGrid w:val="0"/>
        <w:spacing w:after="0" w:line="560" w:lineRule="exact"/>
        <w:ind w:firstLine="640" w:firstLineChars="200"/>
        <w:contextualSpacing/>
        <w:rPr>
          <w:rFonts w:hint="eastAsia" w:ascii="仿宋_GB2312" w:hAnsi="仿宋_GB2312" w:eastAsia="仿宋_GB2312" w:cs="仿宋_GB2312"/>
          <w:position w:val="0"/>
          <w:sz w:val="32"/>
          <w:szCs w:val="32"/>
        </w:rPr>
      </w:pPr>
      <w:r>
        <w:rPr>
          <w:rFonts w:hint="eastAsia" w:ascii="仿宋_GB2312" w:hAnsi="仿宋_GB2312" w:eastAsia="仿宋_GB2312" w:cs="仿宋_GB2312"/>
          <w:position w:val="0"/>
          <w:sz w:val="32"/>
          <w:szCs w:val="32"/>
        </w:rPr>
        <w:t>特此公告。</w:t>
      </w:r>
    </w:p>
    <w:p w14:paraId="20C820E9">
      <w:pPr>
        <w:rPr>
          <w:rFonts w:hint="eastAsia" w:ascii="仿宋_GB2312" w:hAnsi="仿宋_GB2312" w:eastAsia="仿宋_GB2312" w:cs="仿宋_GB2312"/>
          <w:sz w:val="32"/>
          <w:szCs w:val="32"/>
        </w:rPr>
      </w:pPr>
    </w:p>
    <w:p w14:paraId="15217D20">
      <w:pPr>
        <w:pStyle w:val="4"/>
        <w:overflowPunct w:val="0"/>
        <w:adjustRightInd w:val="0"/>
        <w:snapToGrid w:val="0"/>
        <w:spacing w:after="0" w:line="560"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附：承诺书</w:t>
      </w:r>
    </w:p>
    <w:p w14:paraId="7F70E8C6">
      <w:pPr>
        <w:rPr>
          <w:rFonts w:hint="eastAsia" w:ascii="仿宋_GB2312" w:hAnsi="仿宋_GB2312" w:eastAsia="仿宋_GB2312" w:cs="仿宋_GB2312"/>
          <w:sz w:val="32"/>
          <w:szCs w:val="32"/>
        </w:rPr>
      </w:pPr>
    </w:p>
    <w:p w14:paraId="0ED30439">
      <w:pPr>
        <w:rPr>
          <w:rFonts w:hint="eastAsia" w:ascii="仿宋_GB2312" w:hAnsi="仿宋_GB2312" w:eastAsia="仿宋_GB2312" w:cs="仿宋_GB2312"/>
          <w:sz w:val="32"/>
          <w:szCs w:val="32"/>
        </w:rPr>
      </w:pPr>
    </w:p>
    <w:p w14:paraId="776B7485">
      <w:pPr>
        <w:rPr>
          <w:rFonts w:hint="eastAsia" w:ascii="仿宋_GB2312" w:hAnsi="仿宋_GB2312" w:eastAsia="仿宋_GB2312" w:cs="仿宋_GB2312"/>
          <w:sz w:val="32"/>
          <w:szCs w:val="32"/>
        </w:rPr>
      </w:pPr>
    </w:p>
    <w:p w14:paraId="1D2EA121">
      <w:pPr>
        <w:rPr>
          <w:rFonts w:hint="eastAsia" w:ascii="仿宋_GB2312" w:hAnsi="仿宋_GB2312" w:eastAsia="仿宋_GB2312" w:cs="仿宋_GB2312"/>
          <w:sz w:val="32"/>
          <w:szCs w:val="32"/>
        </w:rPr>
      </w:pPr>
    </w:p>
    <w:p w14:paraId="3A357F7D">
      <w:pPr>
        <w:overflowPunct w:val="0"/>
        <w:adjustRightInd w:val="0"/>
        <w:snapToGrid w:val="0"/>
        <w:spacing w:line="560" w:lineRule="exact"/>
        <w:rPr>
          <w:rFonts w:hint="eastAsia" w:ascii="黑体" w:hAnsi="黑体" w:eastAsia="黑体" w:cs="黑体"/>
          <w:sz w:val="32"/>
          <w:szCs w:val="32"/>
          <w:lang w:val="en-US"/>
        </w:rPr>
      </w:pPr>
      <w:r>
        <w:rPr>
          <w:rFonts w:hint="eastAsia" w:ascii="黑体" w:hAnsi="黑体" w:eastAsia="黑体" w:cs="黑体"/>
          <w:sz w:val="32"/>
          <w:szCs w:val="32"/>
          <w:lang w:val="en-US"/>
        </w:rPr>
        <w:t>附</w:t>
      </w:r>
    </w:p>
    <w:p w14:paraId="2CCA11D3">
      <w:pPr>
        <w:overflowPunct w:val="0"/>
        <w:spacing w:line="560" w:lineRule="exact"/>
        <w:contextualSpacing/>
        <w:jc w:val="center"/>
        <w:rPr>
          <w:rFonts w:hint="eastAsia" w:ascii="黑体" w:hAnsi="黑体" w:eastAsia="黑体" w:cs="仿宋_GB2312"/>
          <w:sz w:val="36"/>
          <w:szCs w:val="36"/>
        </w:rPr>
      </w:pPr>
    </w:p>
    <w:p w14:paraId="6FE6F71A">
      <w:pPr>
        <w:overflowPunct w:val="0"/>
        <w:spacing w:line="560" w:lineRule="exact"/>
        <w:contextualSpacing/>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承诺书</w:t>
      </w:r>
    </w:p>
    <w:p w14:paraId="41B66C72">
      <w:pPr>
        <w:overflowPunct w:val="0"/>
        <w:spacing w:line="560" w:lineRule="exact"/>
        <w:contextualSpacing/>
        <w:jc w:val="left"/>
        <w:rPr>
          <w:rFonts w:ascii="仿宋_GB2312" w:hAnsi="Times New Roman" w:eastAsia="仿宋_GB2312" w:cs="仿宋_GB2312"/>
          <w:sz w:val="32"/>
          <w:szCs w:val="32"/>
        </w:rPr>
      </w:pPr>
    </w:p>
    <w:p w14:paraId="42F445BB">
      <w:pPr>
        <w:overflowPunct w:val="0"/>
        <w:spacing w:line="560" w:lineRule="exact"/>
        <w:ind w:firstLine="640" w:firstLineChars="200"/>
        <w:contextualSpacing/>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我公司拟在化学药品创新药（品种名称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）上市申请中滚动提交工艺验证报告，现承诺以下事项：</w:t>
      </w:r>
    </w:p>
    <w:p w14:paraId="425E3364">
      <w:pPr>
        <w:pStyle w:val="7"/>
        <w:numPr>
          <w:ilvl w:val="0"/>
          <w:numId w:val="2"/>
        </w:numPr>
        <w:overflowPunct w:val="0"/>
        <w:spacing w:line="560" w:lineRule="exact"/>
        <w:ind w:left="1360" w:hanging="72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该品种为全球同步研发、同步申报的药物品种：</w:t>
      </w:r>
    </w:p>
    <w:p w14:paraId="0FC51865">
      <w:pPr>
        <w:pStyle w:val="7"/>
        <w:overflowPunct w:val="0"/>
        <w:spacing w:line="560" w:lineRule="exact"/>
        <w:ind w:left="0"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□此次递交为全球首次申报；</w:t>
      </w:r>
    </w:p>
    <w:p w14:paraId="2A871B9E">
      <w:pPr>
        <w:pStyle w:val="7"/>
        <w:overflowPunct w:val="0"/>
        <w:spacing w:line="560" w:lineRule="exact"/>
        <w:ind w:left="0" w:firstLine="640" w:firstLineChars="200"/>
        <w:jc w:val="left"/>
        <w:rPr>
          <w:rFonts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□已于XXXX年X</w:t>
      </w:r>
      <w:r>
        <w:rPr>
          <w:rFonts w:hint="default" w:ascii="Times New Roman" w:hAnsi="Times New Roman" w:eastAsia="仿宋_GB2312" w:cs="Times New Roman"/>
          <w:color w:val="000000"/>
          <w:sz w:val="32"/>
          <w:szCs w:val="32"/>
        </w:rPr>
        <w:t>X月在XX国申报上市申请，此次递交上市申请时间距离境外首次申报不超过3个月。</w:t>
      </w:r>
    </w:p>
    <w:p w14:paraId="14E64FC2">
      <w:pPr>
        <w:pStyle w:val="7"/>
        <w:overflowPunct w:val="0"/>
        <w:spacing w:line="560" w:lineRule="exact"/>
        <w:ind w:left="0" w:firstLine="640" w:firstLineChars="200"/>
        <w:jc w:val="left"/>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二、我公司承诺将严格按照递交的工艺验证方案，完成商业化规模制剂的工艺验证，并于XXXX年XX月前将完整的工艺验证报告滚动提交至</w:t>
      </w:r>
      <w:r>
        <w:rPr>
          <w:rFonts w:hint="default" w:ascii="Times New Roman" w:hAnsi="Times New Roman" w:eastAsia="仿宋_GB2312" w:cs="Times New Roman"/>
          <w:color w:val="000000"/>
          <w:sz w:val="32"/>
          <w:szCs w:val="32"/>
          <w:lang w:eastAsia="zh-CN"/>
        </w:rPr>
        <w:t>国家</w:t>
      </w:r>
      <w:r>
        <w:rPr>
          <w:rFonts w:hint="eastAsia" w:ascii="Times New Roman" w:hAnsi="Times New Roman" w:eastAsia="仿宋_GB2312" w:cs="Times New Roman"/>
          <w:color w:val="000000"/>
          <w:sz w:val="32"/>
          <w:szCs w:val="32"/>
          <w:lang w:eastAsia="zh-CN"/>
        </w:rPr>
        <w:t>药品监督管理</w:t>
      </w:r>
      <w:r>
        <w:rPr>
          <w:rFonts w:hint="default" w:ascii="Times New Roman" w:hAnsi="Times New Roman" w:eastAsia="仿宋_GB2312" w:cs="Times New Roman"/>
          <w:color w:val="000000"/>
          <w:sz w:val="32"/>
          <w:szCs w:val="32"/>
          <w:lang w:eastAsia="zh-CN"/>
        </w:rPr>
        <w:t>局</w:t>
      </w:r>
      <w:r>
        <w:rPr>
          <w:rFonts w:hint="default" w:ascii="Times New Roman" w:hAnsi="Times New Roman" w:eastAsia="仿宋_GB2312" w:cs="Times New Roman"/>
          <w:color w:val="000000"/>
          <w:sz w:val="32"/>
          <w:szCs w:val="32"/>
        </w:rPr>
        <w:t>药</w:t>
      </w:r>
      <w:r>
        <w:rPr>
          <w:rFonts w:hint="eastAsia" w:ascii="Times New Roman" w:hAnsi="Times New Roman" w:eastAsia="仿宋_GB2312" w:cs="Times New Roman"/>
          <w:color w:val="000000"/>
          <w:sz w:val="32"/>
          <w:szCs w:val="32"/>
          <w:lang w:eastAsia="zh-CN"/>
        </w:rPr>
        <w:t>品</w:t>
      </w:r>
      <w:r>
        <w:rPr>
          <w:rFonts w:hint="default" w:ascii="Times New Roman" w:hAnsi="Times New Roman" w:eastAsia="仿宋_GB2312" w:cs="Times New Roman"/>
          <w:color w:val="000000"/>
          <w:sz w:val="32"/>
          <w:szCs w:val="32"/>
        </w:rPr>
        <w:t>审</w:t>
      </w:r>
      <w:r>
        <w:rPr>
          <w:rFonts w:hint="eastAsia" w:ascii="Times New Roman" w:hAnsi="Times New Roman" w:eastAsia="仿宋_GB2312" w:cs="Times New Roman"/>
          <w:color w:val="000000"/>
          <w:sz w:val="32"/>
          <w:szCs w:val="32"/>
          <w:lang w:eastAsia="zh-CN"/>
        </w:rPr>
        <w:t>评</w:t>
      </w:r>
      <w:r>
        <w:rPr>
          <w:rFonts w:hint="default" w:ascii="Times New Roman" w:hAnsi="Times New Roman" w:eastAsia="仿宋_GB2312" w:cs="Times New Roman"/>
          <w:color w:val="000000"/>
          <w:sz w:val="32"/>
          <w:szCs w:val="32"/>
        </w:rPr>
        <w:t>中心。</w:t>
      </w:r>
    </w:p>
    <w:p w14:paraId="381B4EA1">
      <w:pPr>
        <w:overflowPunct w:val="0"/>
        <w:spacing w:line="560" w:lineRule="exact"/>
        <w:ind w:firstLine="640" w:firstLineChars="200"/>
        <w:jc w:val="left"/>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三、我公司承诺遵守诚实守信原则，确保所有工艺验证数据真实、准确、完整及可追溯。若最终递交的资料不符合现行技术审评要求或存在数据可靠性问题，所有责任由我公司自行承担。</w:t>
      </w:r>
    </w:p>
    <w:p w14:paraId="690F4E53">
      <w:pPr>
        <w:overflowPunct w:val="0"/>
        <w:spacing w:line="560" w:lineRule="exact"/>
        <w:ind w:firstLine="640" w:firstLineChars="200"/>
        <w:contextualSpacing/>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我公司上述承诺提供的信息真实准确。</w:t>
      </w:r>
    </w:p>
    <w:p w14:paraId="4FD0A06C">
      <w:pPr>
        <w:overflowPunct w:val="0"/>
        <w:spacing w:line="560" w:lineRule="exact"/>
        <w:ind w:firstLine="640" w:firstLineChars="200"/>
        <w:contextualSpacing/>
        <w:jc w:val="left"/>
        <w:rPr>
          <w:rFonts w:hint="default" w:ascii="Times New Roman" w:hAnsi="Times New Roman" w:eastAsia="仿宋_GB2312" w:cs="Times New Roman"/>
          <w:sz w:val="32"/>
          <w:szCs w:val="32"/>
        </w:rPr>
      </w:pPr>
    </w:p>
    <w:p w14:paraId="0CA8B40A">
      <w:pPr>
        <w:pStyle w:val="4"/>
        <w:overflowPunct w:val="0"/>
        <w:spacing w:line="560" w:lineRule="exact"/>
        <w:ind w:firstLine="4160" w:firstLineChars="1300"/>
        <w:contextualSpacing/>
        <w:jc w:val="left"/>
        <w:rPr>
          <w:rFonts w:ascii="Times New Roman" w:hAnsi="Times New Roman" w:eastAsia="仿宋_GB2312" w:cs="Times New Roman"/>
          <w:sz w:val="32"/>
          <w:szCs w:val="32"/>
        </w:rPr>
      </w:pPr>
      <w:bookmarkStart w:id="0" w:name="_GoBack"/>
      <w:bookmarkEnd w:id="0"/>
      <w:r>
        <w:rPr>
          <w:rFonts w:hint="default" w:ascii="Times New Roman" w:hAnsi="Times New Roman" w:eastAsia="仿宋_GB2312" w:cs="Times New Roman"/>
          <w:sz w:val="32"/>
          <w:szCs w:val="32"/>
        </w:rPr>
        <w:t>上市许可申请人名称</w:t>
      </w:r>
    </w:p>
    <w:p w14:paraId="63CBD19D">
      <w:pPr>
        <w:overflowPunct w:val="0"/>
        <w:spacing w:line="560" w:lineRule="exact"/>
        <w:ind w:firstLine="5440" w:firstLineChars="1700"/>
        <w:rPr>
          <w:rFonts w:hint="default" w:ascii="Times New Roman" w:hAnsi="Times New Roman" w:eastAsia="仿宋_GB2312" w:cs="Times New Roman"/>
          <w:position w:val="-1"/>
          <w:sz w:val="32"/>
          <w:szCs w:val="32"/>
        </w:rPr>
      </w:pPr>
      <w:r>
        <w:rPr>
          <w:rFonts w:hint="default" w:ascii="Times New Roman" w:hAnsi="Times New Roman" w:eastAsia="仿宋_GB2312" w:cs="Times New Roman"/>
          <w:position w:val="-1"/>
          <w:sz w:val="32"/>
          <w:szCs w:val="32"/>
        </w:rPr>
        <w:t>（盖章）</w:t>
      </w:r>
    </w:p>
    <w:p w14:paraId="1DC033F9">
      <w:pPr>
        <w:overflowPunct w:val="0"/>
        <w:spacing w:line="560" w:lineRule="exact"/>
        <w:ind w:firstLine="640" w:firstLineChars="200"/>
        <w:contextualSpacing/>
        <w:jc w:val="left"/>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XX年XX</w:t>
      </w:r>
      <w:r>
        <w:rPr>
          <w:rFonts w:hint="eastAsia" w:eastAsia="仿宋_GB2312" w:cs="Times New Roman"/>
          <w:sz w:val="32"/>
          <w:szCs w:val="32"/>
          <w:lang w:val="en-US" w:eastAsia="zh-CN"/>
        </w:rPr>
        <w:t>月</w:t>
      </w:r>
      <w:r>
        <w:rPr>
          <w:rFonts w:hint="default" w:ascii="Times New Roman" w:hAnsi="Times New Roman" w:eastAsia="仿宋_GB2312" w:cs="Times New Roman"/>
          <w:sz w:val="32"/>
          <w:szCs w:val="32"/>
        </w:rPr>
        <w:t>XX</w:t>
      </w:r>
      <w:r>
        <w:rPr>
          <w:rFonts w:hint="eastAsia" w:eastAsia="仿宋_GB2312" w:cs="Times New Roman"/>
          <w:sz w:val="32"/>
          <w:szCs w:val="32"/>
          <w:lang w:val="en-US" w:eastAsia="zh-CN"/>
        </w:rPr>
        <w:t>日</w:t>
      </w:r>
    </w:p>
    <w:p w14:paraId="41CACF41"/>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953C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DE64BC">
                          <w:pPr>
                            <w:pStyle w:val="3"/>
                            <w:rPr>
                              <w:rFonts w:hint="eastAsia" w:eastAsia="宋体"/>
                              <w:sz w:val="28"/>
                              <w:szCs w:val="28"/>
                              <w:lang w:val="en-US" w:eastAsia="zh-CN"/>
                            </w:rPr>
                          </w:pPr>
                          <w:r>
                            <w:rPr>
                              <w:rFonts w:hint="eastAsia"/>
                              <w:color w:val="FFFFFF"/>
                              <w:sz w:val="28"/>
                              <w:szCs w:val="28"/>
                              <w:lang w:eastAsia="zh-CN"/>
                            </w:rPr>
                            <w:t>—</w:t>
                          </w: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color w:val="FFFFFF"/>
                              <w:sz w:val="28"/>
                              <w:szCs w:val="28"/>
                              <w:lang w:val="en-US"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CDE64BC">
                    <w:pPr>
                      <w:pStyle w:val="3"/>
                      <w:rPr>
                        <w:rFonts w:hint="eastAsia" w:eastAsia="宋体"/>
                        <w:sz w:val="28"/>
                        <w:szCs w:val="28"/>
                        <w:lang w:val="en-US" w:eastAsia="zh-CN"/>
                      </w:rPr>
                    </w:pPr>
                    <w:r>
                      <w:rPr>
                        <w:rFonts w:hint="eastAsia"/>
                        <w:color w:val="FFFFFF"/>
                        <w:sz w:val="28"/>
                        <w:szCs w:val="28"/>
                        <w:lang w:eastAsia="zh-CN"/>
                      </w:rPr>
                      <w:t>—</w:t>
                    </w: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color w:val="FFFFFF"/>
                        <w:sz w:val="28"/>
                        <w:szCs w:val="28"/>
                        <w:lang w:val="en-US"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BF9230"/>
    <w:multiLevelType w:val="multilevel"/>
    <w:tmpl w:val="BFBF9230"/>
    <w:lvl w:ilvl="0" w:tentative="0">
      <w:start w:val="1"/>
      <w:numFmt w:val="japaneseCounting"/>
      <w:suff w:val="nothing"/>
      <w:lvlText w:val="%1、"/>
      <w:lvlJc w:val="left"/>
      <w:pPr>
        <w:ind w:left="1360" w:hanging="720"/>
      </w:pPr>
      <w:rPr>
        <w:rFonts w:hint="eastAsia"/>
      </w:rPr>
    </w:lvl>
    <w:lvl w:ilvl="1" w:tentative="0">
      <w:start w:val="1"/>
      <w:numFmt w:val="lowerLetter"/>
      <w:lvlText w:val="%2)"/>
      <w:lvlJc w:val="left"/>
      <w:pPr>
        <w:ind w:left="1520" w:hanging="440"/>
      </w:pPr>
      <w:rPr>
        <w:rFonts w:hint="eastAsia"/>
      </w:rPr>
    </w:lvl>
    <w:lvl w:ilvl="2" w:tentative="0">
      <w:start w:val="1"/>
      <w:numFmt w:val="lowerRoman"/>
      <w:lvlText w:val="%3."/>
      <w:lvlJc w:val="right"/>
      <w:pPr>
        <w:ind w:left="1960" w:hanging="440"/>
      </w:pPr>
      <w:rPr>
        <w:rFonts w:hint="eastAsia"/>
      </w:rPr>
    </w:lvl>
    <w:lvl w:ilvl="3" w:tentative="0">
      <w:start w:val="1"/>
      <w:numFmt w:val="decimal"/>
      <w:lvlText w:val="%4."/>
      <w:lvlJc w:val="left"/>
      <w:pPr>
        <w:ind w:left="2400" w:hanging="440"/>
      </w:pPr>
      <w:rPr>
        <w:rFonts w:hint="eastAsia"/>
      </w:rPr>
    </w:lvl>
    <w:lvl w:ilvl="4" w:tentative="0">
      <w:start w:val="1"/>
      <w:numFmt w:val="lowerLetter"/>
      <w:lvlText w:val="%5)"/>
      <w:lvlJc w:val="left"/>
      <w:pPr>
        <w:ind w:left="2840" w:hanging="440"/>
      </w:pPr>
      <w:rPr>
        <w:rFonts w:hint="eastAsia"/>
      </w:rPr>
    </w:lvl>
    <w:lvl w:ilvl="5" w:tentative="0">
      <w:start w:val="1"/>
      <w:numFmt w:val="lowerRoman"/>
      <w:lvlText w:val="%6."/>
      <w:lvlJc w:val="right"/>
      <w:pPr>
        <w:ind w:left="3280" w:hanging="440"/>
      </w:pPr>
      <w:rPr>
        <w:rFonts w:hint="eastAsia"/>
      </w:rPr>
    </w:lvl>
    <w:lvl w:ilvl="6" w:tentative="0">
      <w:start w:val="1"/>
      <w:numFmt w:val="decimal"/>
      <w:lvlText w:val="%7."/>
      <w:lvlJc w:val="left"/>
      <w:pPr>
        <w:ind w:left="3720" w:hanging="440"/>
      </w:pPr>
      <w:rPr>
        <w:rFonts w:hint="eastAsia"/>
      </w:rPr>
    </w:lvl>
    <w:lvl w:ilvl="7" w:tentative="0">
      <w:start w:val="1"/>
      <w:numFmt w:val="lowerLetter"/>
      <w:lvlText w:val="%8)"/>
      <w:lvlJc w:val="left"/>
      <w:pPr>
        <w:ind w:left="4160" w:hanging="440"/>
      </w:pPr>
      <w:rPr>
        <w:rFonts w:hint="eastAsia"/>
      </w:rPr>
    </w:lvl>
    <w:lvl w:ilvl="8" w:tentative="0">
      <w:start w:val="1"/>
      <w:numFmt w:val="lowerRoman"/>
      <w:lvlText w:val="%9."/>
      <w:lvlJc w:val="right"/>
      <w:pPr>
        <w:ind w:left="4600" w:hanging="440"/>
      </w:pPr>
      <w:rPr>
        <w:rFonts w:hint="eastAsia"/>
      </w:rPr>
    </w:lvl>
  </w:abstractNum>
  <w:abstractNum w:abstractNumId="1">
    <w:nsid w:val="CFF647CF"/>
    <w:multiLevelType w:val="singleLevel"/>
    <w:tmpl w:val="CFF647C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3487C"/>
    <w:rsid w:val="2C734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hanging="1" w:hangingChars="1"/>
      <w:textAlignment w:val="top"/>
      <w:outlineLvl w:val="0"/>
    </w:pPr>
    <w:rPr>
      <w:kern w:val="2"/>
      <w:position w:val="-1"/>
      <w:szCs w:val="24"/>
      <w:lang w:val="en-US"/>
    </w:rPr>
  </w:style>
  <w:style w:type="paragraph" w:styleId="3">
    <w:name w:val="footer"/>
    <w:basedOn w:val="1"/>
    <w:uiPriority w:val="99"/>
    <w:pPr>
      <w:tabs>
        <w:tab w:val="center" w:pos="4153"/>
        <w:tab w:val="right" w:pos="8306"/>
      </w:tabs>
      <w:snapToGrid w:val="0"/>
      <w:jc w:val="left"/>
    </w:pPr>
    <w:rPr>
      <w:sz w:val="18"/>
      <w:szCs w:val="18"/>
    </w:rPr>
  </w:style>
  <w:style w:type="paragraph" w:styleId="4">
    <w:name w:val="Body Text First Indent 2"/>
    <w:basedOn w:val="2"/>
    <w:next w:val="1"/>
    <w:qFormat/>
    <w:uiPriority w:val="0"/>
    <w:pPr>
      <w:ind w:firstLine="420" w:firstLineChars="200"/>
    </w:pPr>
  </w:style>
  <w:style w:type="paragraph" w:styleId="7">
    <w:name w:val="List Paragraph"/>
    <w:basedOn w:val="1"/>
    <w:qFormat/>
    <w:uiPriority w:val="34"/>
    <w:pPr>
      <w:ind w:left="720"/>
      <w:contextualSpacing/>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2026-09-10T10:44:00Z</dcterms:created>
  <dc:creator>YU</dc:creator>
  <cp:lastModifiedBy>YU</cp:lastModifiedBy>
  <dcterms:modified xsi:type="dcterms:W3CDTF">2026-09-10T10:46:51Z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4F5C12B6C4FF4204BB9C2A04F012DA31_11</vt:lpwstr>
  </property>
  <property fmtid="{D5CDD505-2E9C-101B-9397-08002B2CF9AE}" pid="4" name="KSOTemplateDocerSaveRecord">
    <vt:lpwstr>eyJoZGlkIjoiYmYxNDY5MThhYWI0ZjJiYzliMmIyNmE0YjVlOWYxZDUiLCJ1c2VySWQiOiIyNzgyMDExNzcifQ==</vt:lpwstr>
  </property>
</Properties>
</file>